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27CD" w14:textId="77777777" w:rsidR="009A297F" w:rsidRDefault="009A297F" w:rsidP="009A297F">
      <w:pPr>
        <w:jc w:val="center"/>
      </w:pPr>
      <w:r>
        <w:t>Biographie</w:t>
      </w:r>
    </w:p>
    <w:p w14:paraId="48AEB19F" w14:textId="77777777" w:rsidR="009F0F21" w:rsidRDefault="009F0F21" w:rsidP="009F0F21">
      <w:pPr>
        <w:jc w:val="both"/>
      </w:pPr>
    </w:p>
    <w:p w14:paraId="70E10BE8" w14:textId="7DF1DEA4" w:rsidR="0065386C" w:rsidRDefault="009A297F" w:rsidP="009F0F21">
      <w:pPr>
        <w:jc w:val="both"/>
      </w:pPr>
      <w:r>
        <w:t>Nicolas Binctin, agrégé des facultés de droit, est professeur à l’Université de Poitiers où il enseigne le droit d</w:t>
      </w:r>
      <w:r w:rsidR="007F5CF3">
        <w:t>e la propriété intellectuelle</w:t>
      </w:r>
      <w:r w:rsidR="001302DB">
        <w:t xml:space="preserve"> et</w:t>
      </w:r>
      <w:r w:rsidR="001302DB" w:rsidRPr="001302DB">
        <w:t xml:space="preserve"> </w:t>
      </w:r>
      <w:r w:rsidR="001302DB">
        <w:t>le droit des affaires</w:t>
      </w:r>
      <w:r w:rsidR="007F5CF3">
        <w:t>. Il</w:t>
      </w:r>
      <w:r w:rsidR="007F4FB5">
        <w:t xml:space="preserve"> y</w:t>
      </w:r>
      <w:r w:rsidR="007F5CF3">
        <w:t xml:space="preserve"> dirige le Master Droit de la propriété intellectuelle</w:t>
      </w:r>
      <w:r w:rsidR="00DA0B5A">
        <w:t xml:space="preserve">, </w:t>
      </w:r>
      <w:r>
        <w:t>codirige le M</w:t>
      </w:r>
      <w:r w:rsidR="009C5433">
        <w:t xml:space="preserve">aster </w:t>
      </w:r>
      <w:r>
        <w:t>Droit de la recherche et Valorisation</w:t>
      </w:r>
      <w:r w:rsidR="009C5433">
        <w:t xml:space="preserve"> de l’innovation</w:t>
      </w:r>
      <w:r w:rsidR="00DA0B5A">
        <w:t xml:space="preserve"> et crée un Master Droit de la propriété intellectuelle et du numérique en partenariat avec l’Université de Lomé</w:t>
      </w:r>
      <w:r>
        <w:t>. Il assure des enseignements en droit de la propriété intellectuelle pour les universités Paris II</w:t>
      </w:r>
      <w:r w:rsidR="00DA0B5A">
        <w:t xml:space="preserve">, </w:t>
      </w:r>
      <w:r>
        <w:t>Paris XII</w:t>
      </w:r>
      <w:r w:rsidR="00DA0B5A">
        <w:t>, et le CEIPI</w:t>
      </w:r>
      <w:r>
        <w:t xml:space="preserve">. </w:t>
      </w:r>
      <w:r w:rsidR="0065386C">
        <w:t>Il est professeur invité dans plusieurs universités étrangères</w:t>
      </w:r>
      <w:r w:rsidR="00EC7F2F">
        <w:t>, dont l’Académi</w:t>
      </w:r>
      <w:r w:rsidR="00C721A6">
        <w:t xml:space="preserve">e Denis </w:t>
      </w:r>
      <w:proofErr w:type="spellStart"/>
      <w:r w:rsidR="00C721A6">
        <w:t>Ekani</w:t>
      </w:r>
      <w:proofErr w:type="spellEnd"/>
      <w:r w:rsidR="00C721A6">
        <w:t xml:space="preserve"> de l’OAPI</w:t>
      </w:r>
      <w:r w:rsidR="00DA0B5A">
        <w:t>, l’Université d’Alicante</w:t>
      </w:r>
      <w:r w:rsidR="00280F68">
        <w:t xml:space="preserve"> et l’Université </w:t>
      </w:r>
      <w:proofErr w:type="spellStart"/>
      <w:r w:rsidR="00280F68">
        <w:t>Bocconi</w:t>
      </w:r>
      <w:proofErr w:type="spellEnd"/>
      <w:r w:rsidR="00280F68">
        <w:t xml:space="preserve"> de Milan</w:t>
      </w:r>
      <w:r w:rsidR="00C721A6">
        <w:t>,</w:t>
      </w:r>
      <w:r w:rsidR="009C5433">
        <w:t xml:space="preserve"> et i</w:t>
      </w:r>
      <w:r w:rsidR="001302DB">
        <w:t xml:space="preserve">ntervient comme </w:t>
      </w:r>
      <w:r w:rsidR="009C5433">
        <w:t>expert auprès de cabinets d’avocats ou d’entreprise</w:t>
      </w:r>
      <w:r w:rsidR="001302DB">
        <w:t xml:space="preserve">s et comme arbitre dans des contentieux en droit de la propriété intellectuelle et en droit des affaires. </w:t>
      </w:r>
      <w:r w:rsidR="00DA0B5A">
        <w:t xml:space="preserve">Après avoir </w:t>
      </w:r>
      <w:r w:rsidR="00B12134">
        <w:t>dirig</w:t>
      </w:r>
      <w:r w:rsidR="00DA0B5A">
        <w:t>é</w:t>
      </w:r>
      <w:r w:rsidR="00B12134">
        <w:t xml:space="preserve"> </w:t>
      </w:r>
      <w:r w:rsidR="00DA0B5A">
        <w:t xml:space="preserve">le </w:t>
      </w:r>
      <w:r w:rsidR="00B12134">
        <w:t xml:space="preserve">groupe de travail </w:t>
      </w:r>
      <w:r w:rsidR="00DA0B5A">
        <w:t xml:space="preserve">européen en propriété intellectuelle </w:t>
      </w:r>
      <w:r w:rsidR="00B12134">
        <w:t>installé par la Fondation pour le droit cont</w:t>
      </w:r>
      <w:r w:rsidR="007F4FB5">
        <w:t>inental pour la rédaction d’un C</w:t>
      </w:r>
      <w:r w:rsidR="00B12134">
        <w:t xml:space="preserve">ode européen </w:t>
      </w:r>
      <w:r w:rsidR="007F4FB5">
        <w:t>des affaire</w:t>
      </w:r>
      <w:r w:rsidR="00DA0B5A">
        <w:t>s, il a animé un groupe international de recherche prospective en vue du congrès l’ILA 2023</w:t>
      </w:r>
      <w:r w:rsidR="00B12134">
        <w:t>.</w:t>
      </w:r>
    </w:p>
    <w:p w14:paraId="0492B9BF" w14:textId="77777777" w:rsidR="001302DB" w:rsidRDefault="001302DB" w:rsidP="009F0F21">
      <w:pPr>
        <w:jc w:val="both"/>
      </w:pPr>
    </w:p>
    <w:p w14:paraId="467D9C8E" w14:textId="17E06D26" w:rsidR="00F92FAD" w:rsidRPr="00BC0926" w:rsidRDefault="0065386C" w:rsidP="00ED6A37">
      <w:pPr>
        <w:jc w:val="both"/>
      </w:pPr>
      <w:r>
        <w:t xml:space="preserve">Après une thèse </w:t>
      </w:r>
      <w:r w:rsidR="009A297F">
        <w:t>soutenu</w:t>
      </w:r>
      <w:r>
        <w:t>e</w:t>
      </w:r>
      <w:r w:rsidR="009A297F">
        <w:t xml:space="preserve"> en 2005 </w:t>
      </w:r>
      <w:r>
        <w:t>intitulée</w:t>
      </w:r>
      <w:r w:rsidR="009A297F">
        <w:t xml:space="preserve"> </w:t>
      </w:r>
      <w:r w:rsidR="009A297F" w:rsidRPr="005E3D73">
        <w:rPr>
          <w:i/>
        </w:rPr>
        <w:t>Le capital intellectuel</w:t>
      </w:r>
      <w:r w:rsidR="009A297F">
        <w:t xml:space="preserve">, publiée en </w:t>
      </w:r>
      <w:r w:rsidR="007F549D">
        <w:t xml:space="preserve">2007 </w:t>
      </w:r>
      <w:r w:rsidR="009A297F">
        <w:t xml:space="preserve">chez Litec, </w:t>
      </w:r>
      <w:r w:rsidR="007F549D">
        <w:t xml:space="preserve">la publication </w:t>
      </w:r>
      <w:r w:rsidR="007F549D">
        <w:t>en 2018, avec Philippe Delebecque et Lionel Andreu, la 18</w:t>
      </w:r>
      <w:r w:rsidR="007F549D" w:rsidRPr="00280F68">
        <w:rPr>
          <w:vertAlign w:val="superscript"/>
        </w:rPr>
        <w:t>ème</w:t>
      </w:r>
      <w:r w:rsidR="007F549D">
        <w:t xml:space="preserve"> édition du 3</w:t>
      </w:r>
      <w:r w:rsidR="007F549D" w:rsidRPr="00280F68">
        <w:rPr>
          <w:vertAlign w:val="superscript"/>
        </w:rPr>
        <w:t>ème</w:t>
      </w:r>
      <w:r w:rsidR="007F549D">
        <w:t xml:space="preserve"> tome et 4</w:t>
      </w:r>
      <w:r w:rsidR="007F549D" w:rsidRPr="0069382F">
        <w:rPr>
          <w:vertAlign w:val="superscript"/>
        </w:rPr>
        <w:t>ème</w:t>
      </w:r>
      <w:r w:rsidR="007F549D">
        <w:t xml:space="preserve"> tome du </w:t>
      </w:r>
      <w:r w:rsidR="007F549D" w:rsidRPr="00280F68">
        <w:rPr>
          <w:i/>
        </w:rPr>
        <w:t xml:space="preserve">Traité de droit des affaires Ripert et </w:t>
      </w:r>
      <w:proofErr w:type="spellStart"/>
      <w:r w:rsidR="007F549D" w:rsidRPr="00280F68">
        <w:rPr>
          <w:i/>
        </w:rPr>
        <w:t>Roblot</w:t>
      </w:r>
      <w:proofErr w:type="spellEnd"/>
      <w:r w:rsidR="007F549D">
        <w:t xml:space="preserve">, </w:t>
      </w:r>
      <w:r w:rsidR="007F549D">
        <w:t>et</w:t>
      </w:r>
      <w:r w:rsidR="007F549D">
        <w:t>, en 2015</w:t>
      </w:r>
      <w:r w:rsidR="007F549D">
        <w:t>,</w:t>
      </w:r>
      <w:r w:rsidR="007F549D">
        <w:t xml:space="preserve"> </w:t>
      </w:r>
      <w:r w:rsidR="007F549D" w:rsidRPr="0065386C">
        <w:rPr>
          <w:i/>
        </w:rPr>
        <w:t>La Stratégie d’entreprise et la propriété intellectuelle</w:t>
      </w:r>
      <w:r w:rsidR="007F549D">
        <w:rPr>
          <w:i/>
        </w:rPr>
        <w:t xml:space="preserve">, </w:t>
      </w:r>
      <w:r>
        <w:t>i</w:t>
      </w:r>
      <w:r w:rsidR="00A9107E">
        <w:t>l publi</w:t>
      </w:r>
      <w:r w:rsidR="00DA0B5A">
        <w:t>e</w:t>
      </w:r>
      <w:r w:rsidR="008572F6">
        <w:t>,</w:t>
      </w:r>
      <w:r w:rsidR="009A297F">
        <w:t xml:space="preserve"> </w:t>
      </w:r>
      <w:r w:rsidR="00280F68">
        <w:t xml:space="preserve">en </w:t>
      </w:r>
      <w:r w:rsidR="00A9107E">
        <w:t xml:space="preserve">septembre </w:t>
      </w:r>
      <w:r w:rsidR="00280F68">
        <w:t>20</w:t>
      </w:r>
      <w:r w:rsidR="00ED6A37">
        <w:t>2</w:t>
      </w:r>
      <w:r w:rsidR="00DA0B5A">
        <w:t>2</w:t>
      </w:r>
      <w:r w:rsidR="008572F6">
        <w:t>,</w:t>
      </w:r>
      <w:r w:rsidR="009A297F">
        <w:t xml:space="preserve"> chez LGDJ </w:t>
      </w:r>
      <w:r w:rsidR="005E3D73">
        <w:t xml:space="preserve">la </w:t>
      </w:r>
      <w:r w:rsidR="00DA0B5A">
        <w:t>septième</w:t>
      </w:r>
      <w:r w:rsidR="005E3D73">
        <w:t xml:space="preserve"> édition d’</w:t>
      </w:r>
      <w:r w:rsidR="009A297F">
        <w:t xml:space="preserve">un manuel de </w:t>
      </w:r>
      <w:r w:rsidR="009A297F" w:rsidRPr="0065386C">
        <w:rPr>
          <w:i/>
        </w:rPr>
        <w:t>droit de la propriété intellectuelle</w:t>
      </w:r>
      <w:r w:rsidR="008572F6">
        <w:t>,</w:t>
      </w:r>
      <w:r w:rsidR="009A297F">
        <w:t>.</w:t>
      </w:r>
      <w:r w:rsidR="009C5433">
        <w:t xml:space="preserve"> </w:t>
      </w:r>
      <w:r w:rsidR="001302DB">
        <w:t>Il a dirigé en 20</w:t>
      </w:r>
      <w:r w:rsidR="00073764">
        <w:t>21, avec X. Près,</w:t>
      </w:r>
      <w:r w:rsidR="001302DB">
        <w:t xml:space="preserve"> la publication</w:t>
      </w:r>
      <w:r w:rsidR="00073764">
        <w:t xml:space="preserve"> d’un</w:t>
      </w:r>
      <w:r w:rsidR="00C721A6">
        <w:t xml:space="preserve"> </w:t>
      </w:r>
      <w:r w:rsidR="00073764" w:rsidRPr="002F49BC">
        <w:rPr>
          <w:i/>
          <w:iCs/>
        </w:rPr>
        <w:t>Commentaire des directives 2019/789 et 2019/790</w:t>
      </w:r>
      <w:r w:rsidR="00073764">
        <w:t xml:space="preserve">, </w:t>
      </w:r>
      <w:r w:rsidR="00073764">
        <w:t xml:space="preserve">publié chez </w:t>
      </w:r>
      <w:r w:rsidR="00073764">
        <w:t>Larcier</w:t>
      </w:r>
      <w:r w:rsidR="00C721A6">
        <w:t xml:space="preserve">. </w:t>
      </w:r>
      <w:r>
        <w:t xml:space="preserve">Il tient la chronique </w:t>
      </w:r>
      <w:r w:rsidR="009C5433">
        <w:t xml:space="preserve">annuelle </w:t>
      </w:r>
      <w:r>
        <w:t xml:space="preserve">de droit de la propriété industrielle pour le </w:t>
      </w:r>
      <w:r w:rsidRPr="009A1D15">
        <w:rPr>
          <w:i/>
        </w:rPr>
        <w:t>JCP E</w:t>
      </w:r>
      <w:r w:rsidR="00C721A6">
        <w:t>,</w:t>
      </w:r>
      <w:r>
        <w:t xml:space="preserve"> la chronique de droit de la propriété intellectuelle pour le </w:t>
      </w:r>
      <w:r w:rsidRPr="009A1D15">
        <w:rPr>
          <w:i/>
        </w:rPr>
        <w:t>JCP G</w:t>
      </w:r>
      <w:r w:rsidR="00B12134">
        <w:t xml:space="preserve">, </w:t>
      </w:r>
      <w:r w:rsidR="0069382F">
        <w:t xml:space="preserve">une chronique de droit public de la propriété intellectuelle pour la revue </w:t>
      </w:r>
      <w:r w:rsidR="0069382F" w:rsidRPr="0069382F">
        <w:rPr>
          <w:i/>
        </w:rPr>
        <w:t>Propriétés Intellectuelles</w:t>
      </w:r>
      <w:r w:rsidR="0069382F">
        <w:t xml:space="preserve"> </w:t>
      </w:r>
      <w:r w:rsidR="00C721A6">
        <w:t xml:space="preserve">et la chronique Lettre de France de la </w:t>
      </w:r>
      <w:r w:rsidR="00C721A6" w:rsidRPr="00C721A6">
        <w:rPr>
          <w:i/>
        </w:rPr>
        <w:t>RIDA</w:t>
      </w:r>
      <w:r>
        <w:t>.</w:t>
      </w:r>
      <w:r w:rsidR="00ED6A37">
        <w:t xml:space="preserve"> Parmi ses publications récentes, on peut citer, L’accès aux soins et la propriété intellectuelle, </w:t>
      </w:r>
      <w:r w:rsidR="00ED6A37" w:rsidRPr="00DB3FC2">
        <w:rPr>
          <w:i/>
          <w:iCs/>
        </w:rPr>
        <w:t>Santé et droit internationale</w:t>
      </w:r>
      <w:r w:rsidR="00ED6A37">
        <w:t xml:space="preserve">, </w:t>
      </w:r>
      <w:proofErr w:type="spellStart"/>
      <w:r w:rsidR="00ED6A37">
        <w:t>Pedone</w:t>
      </w:r>
      <w:proofErr w:type="spellEnd"/>
      <w:r w:rsidR="00ED6A37">
        <w:t xml:space="preserve"> 2019 ; </w:t>
      </w:r>
      <w:r w:rsidR="00073764">
        <w:t xml:space="preserve">Intelligence artificielle et propriété intellectuelle, </w:t>
      </w:r>
      <w:r w:rsidR="00073764" w:rsidRPr="00BA044B">
        <w:rPr>
          <w:i/>
        </w:rPr>
        <w:t>Mélanges Michel Vivant</w:t>
      </w:r>
      <w:r w:rsidR="00073764">
        <w:rPr>
          <w:i/>
        </w:rPr>
        <w:t xml:space="preserve">, </w:t>
      </w:r>
      <w:r w:rsidR="00073764" w:rsidRPr="00073764">
        <w:rPr>
          <w:iCs/>
        </w:rPr>
        <w:t>Dalloz 2020</w:t>
      </w:r>
      <w:r w:rsidR="00ED6A37">
        <w:t xml:space="preserve">, </w:t>
      </w:r>
      <w:r w:rsidR="00760FAD">
        <w:t xml:space="preserve">- Dix articles pour la propriété intellectuelle, </w:t>
      </w:r>
      <w:r w:rsidR="00760FAD" w:rsidRPr="0078592D">
        <w:rPr>
          <w:i/>
          <w:iCs/>
        </w:rPr>
        <w:t xml:space="preserve">Le Code de la propriété intellectuelle en </w:t>
      </w:r>
      <w:r w:rsidR="00760FAD">
        <w:rPr>
          <w:i/>
          <w:iCs/>
        </w:rPr>
        <w:t>d</w:t>
      </w:r>
      <w:r w:rsidR="00760FAD" w:rsidRPr="0078592D">
        <w:rPr>
          <w:i/>
          <w:iCs/>
        </w:rPr>
        <w:t>ix articles</w:t>
      </w:r>
      <w:r w:rsidR="00760FAD">
        <w:t>, Dalloz, coll. Thème et commentaire, CUERPI</w:t>
      </w:r>
      <w:r w:rsidR="00760FAD">
        <w:t xml:space="preserve"> 2021, </w:t>
      </w:r>
      <w:r w:rsidR="00ED6A37">
        <w:t xml:space="preserve">et Les stratégies arbitrales en propriété intellectuelle, </w:t>
      </w:r>
      <w:bookmarkStart w:id="0" w:name="_Hlk25869828"/>
      <w:r w:rsidR="00ED6A37" w:rsidRPr="00987736">
        <w:rPr>
          <w:i/>
        </w:rPr>
        <w:t>Stratégies internationales et propriété intellectuelle</w:t>
      </w:r>
      <w:r w:rsidR="00ED6A37">
        <w:t xml:space="preserve">, Larcier, 2019, </w:t>
      </w:r>
      <w:r w:rsidR="00ED6A37" w:rsidRPr="001B6A56">
        <w:t>collection « Droit, Management &amp; Stratégies »</w:t>
      </w:r>
      <w:bookmarkEnd w:id="0"/>
      <w:r w:rsidR="00ED6A37">
        <w:t>.</w:t>
      </w:r>
    </w:p>
    <w:sectPr w:rsidR="00F92FAD" w:rsidRPr="00BC0926" w:rsidSect="00F9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7BE"/>
    <w:rsid w:val="00037759"/>
    <w:rsid w:val="00073764"/>
    <w:rsid w:val="000B54B1"/>
    <w:rsid w:val="000D1DE4"/>
    <w:rsid w:val="00116E5A"/>
    <w:rsid w:val="001302DB"/>
    <w:rsid w:val="00175B2C"/>
    <w:rsid w:val="00175DB7"/>
    <w:rsid w:val="0018380E"/>
    <w:rsid w:val="001A4A99"/>
    <w:rsid w:val="001A79D8"/>
    <w:rsid w:val="001B747D"/>
    <w:rsid w:val="001C6834"/>
    <w:rsid w:val="001D0665"/>
    <w:rsid w:val="001E05DA"/>
    <w:rsid w:val="001E2E50"/>
    <w:rsid w:val="001F1E69"/>
    <w:rsid w:val="001F4342"/>
    <w:rsid w:val="00214D70"/>
    <w:rsid w:val="002371E1"/>
    <w:rsid w:val="00250E39"/>
    <w:rsid w:val="00280F68"/>
    <w:rsid w:val="00284B00"/>
    <w:rsid w:val="002949B6"/>
    <w:rsid w:val="002A3FC0"/>
    <w:rsid w:val="002D323F"/>
    <w:rsid w:val="002F09F3"/>
    <w:rsid w:val="003002F6"/>
    <w:rsid w:val="00305D4A"/>
    <w:rsid w:val="00316666"/>
    <w:rsid w:val="00356E28"/>
    <w:rsid w:val="00365123"/>
    <w:rsid w:val="00367AA1"/>
    <w:rsid w:val="003735E5"/>
    <w:rsid w:val="00397FF8"/>
    <w:rsid w:val="003A4CD0"/>
    <w:rsid w:val="003A62A6"/>
    <w:rsid w:val="003B1022"/>
    <w:rsid w:val="003C328D"/>
    <w:rsid w:val="003D0B52"/>
    <w:rsid w:val="003F46C8"/>
    <w:rsid w:val="00401CD4"/>
    <w:rsid w:val="00426E80"/>
    <w:rsid w:val="00443804"/>
    <w:rsid w:val="00450A02"/>
    <w:rsid w:val="004B70F6"/>
    <w:rsid w:val="004C15B0"/>
    <w:rsid w:val="004D13F0"/>
    <w:rsid w:val="004F1B49"/>
    <w:rsid w:val="00503773"/>
    <w:rsid w:val="00521F59"/>
    <w:rsid w:val="0055751E"/>
    <w:rsid w:val="005608EF"/>
    <w:rsid w:val="005740E5"/>
    <w:rsid w:val="005838E9"/>
    <w:rsid w:val="005D0899"/>
    <w:rsid w:val="005D16FE"/>
    <w:rsid w:val="005E3D73"/>
    <w:rsid w:val="00603E45"/>
    <w:rsid w:val="00644521"/>
    <w:rsid w:val="0065386C"/>
    <w:rsid w:val="006560C8"/>
    <w:rsid w:val="0067236A"/>
    <w:rsid w:val="006749B2"/>
    <w:rsid w:val="0069382F"/>
    <w:rsid w:val="006A5B59"/>
    <w:rsid w:val="006A6920"/>
    <w:rsid w:val="0072718C"/>
    <w:rsid w:val="007337BE"/>
    <w:rsid w:val="00760FAD"/>
    <w:rsid w:val="007F4FB5"/>
    <w:rsid w:val="007F549D"/>
    <w:rsid w:val="007F5CF3"/>
    <w:rsid w:val="007F7FE6"/>
    <w:rsid w:val="00813D96"/>
    <w:rsid w:val="00827820"/>
    <w:rsid w:val="008300A0"/>
    <w:rsid w:val="008572F6"/>
    <w:rsid w:val="0086495A"/>
    <w:rsid w:val="00864D41"/>
    <w:rsid w:val="008852E8"/>
    <w:rsid w:val="008F47AD"/>
    <w:rsid w:val="009256CC"/>
    <w:rsid w:val="00930888"/>
    <w:rsid w:val="009321F4"/>
    <w:rsid w:val="009418AF"/>
    <w:rsid w:val="00954063"/>
    <w:rsid w:val="00975E44"/>
    <w:rsid w:val="00996670"/>
    <w:rsid w:val="009A1D15"/>
    <w:rsid w:val="009A297F"/>
    <w:rsid w:val="009C3364"/>
    <w:rsid w:val="009C5433"/>
    <w:rsid w:val="009E435F"/>
    <w:rsid w:val="009F0F21"/>
    <w:rsid w:val="009F5071"/>
    <w:rsid w:val="00A2257D"/>
    <w:rsid w:val="00A86B4A"/>
    <w:rsid w:val="00A9107E"/>
    <w:rsid w:val="00A94939"/>
    <w:rsid w:val="00AC5273"/>
    <w:rsid w:val="00AC6F4D"/>
    <w:rsid w:val="00AD54AC"/>
    <w:rsid w:val="00AF5B76"/>
    <w:rsid w:val="00B12134"/>
    <w:rsid w:val="00B31ED2"/>
    <w:rsid w:val="00BB24AE"/>
    <w:rsid w:val="00BC0926"/>
    <w:rsid w:val="00BE7801"/>
    <w:rsid w:val="00BF1A85"/>
    <w:rsid w:val="00C108A5"/>
    <w:rsid w:val="00C1377A"/>
    <w:rsid w:val="00C365B8"/>
    <w:rsid w:val="00C36DCB"/>
    <w:rsid w:val="00C721A6"/>
    <w:rsid w:val="00C745A9"/>
    <w:rsid w:val="00C77D60"/>
    <w:rsid w:val="00CD2DE6"/>
    <w:rsid w:val="00D00CF5"/>
    <w:rsid w:val="00D174EB"/>
    <w:rsid w:val="00D20B24"/>
    <w:rsid w:val="00DA0B5A"/>
    <w:rsid w:val="00E01071"/>
    <w:rsid w:val="00E21021"/>
    <w:rsid w:val="00E34AFE"/>
    <w:rsid w:val="00E4037B"/>
    <w:rsid w:val="00E86D90"/>
    <w:rsid w:val="00EB16EF"/>
    <w:rsid w:val="00EB1A1A"/>
    <w:rsid w:val="00EC7F2F"/>
    <w:rsid w:val="00ED6A37"/>
    <w:rsid w:val="00F2782B"/>
    <w:rsid w:val="00F371CF"/>
    <w:rsid w:val="00F44391"/>
    <w:rsid w:val="00F44759"/>
    <w:rsid w:val="00F55858"/>
    <w:rsid w:val="00F77FAF"/>
    <w:rsid w:val="00F92FAD"/>
    <w:rsid w:val="00F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DC54"/>
  <w15:docId w15:val="{B6EEBB1D-8B9F-4F5E-8EEE-16DC0C9D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236A"/>
    <w:pPr>
      <w:spacing w:after="8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236A"/>
    <w:rPr>
      <w:rFonts w:ascii="Times New Roman" w:hAnsi="Times New Roman"/>
    </w:rPr>
  </w:style>
  <w:style w:type="paragraph" w:styleId="Retraitcorpsdetexte2">
    <w:name w:val="Body Text Indent 2"/>
    <w:basedOn w:val="Normal"/>
    <w:link w:val="Retraitcorpsdetexte2Car"/>
    <w:uiPriority w:val="99"/>
    <w:rsid w:val="007337BE"/>
    <w:pPr>
      <w:ind w:left="709" w:hanging="709"/>
      <w:jc w:val="both"/>
    </w:pPr>
    <w:rPr>
      <w:bCs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337BE"/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7337BE"/>
    <w:pPr>
      <w:ind w:left="2125" w:hanging="2125"/>
      <w:jc w:val="both"/>
    </w:pPr>
    <w:rPr>
      <w:rFonts w:ascii="Garamond" w:hAnsi="Garamond"/>
      <w:bCs/>
      <w:sz w:val="20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337BE"/>
    <w:rPr>
      <w:rFonts w:ascii="Garamond" w:eastAsia="Times New Roman" w:hAnsi="Garamond" w:cs="Times New Roman"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7337B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337B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 Binctin</cp:lastModifiedBy>
  <cp:revision>12</cp:revision>
  <dcterms:created xsi:type="dcterms:W3CDTF">2017-07-20T07:43:00Z</dcterms:created>
  <dcterms:modified xsi:type="dcterms:W3CDTF">2022-06-13T10:04:00Z</dcterms:modified>
</cp:coreProperties>
</file>